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06425" w14:textId="77777777" w:rsidR="007B024E" w:rsidRDefault="001D36C1">
      <w:pPr>
        <w:rPr>
          <w:rFonts w:ascii="Century Gothic" w:hAnsi="Century Gothic"/>
          <w:b/>
        </w:rPr>
      </w:pPr>
      <w:bookmarkStart w:id="0" w:name="_GoBack"/>
      <w:bookmarkEnd w:id="0"/>
      <w:r>
        <w:rPr>
          <w:rFonts w:ascii="Century Gothic" w:hAnsi="Century Gothic"/>
          <w:b/>
        </w:rPr>
        <w:t>In the Consistory Court of the Diocese of Winchester</w:t>
      </w:r>
    </w:p>
    <w:p w14:paraId="51BED5AD" w14:textId="77777777" w:rsidR="001D36C1" w:rsidRDefault="001D36C1">
      <w:pPr>
        <w:rPr>
          <w:rFonts w:ascii="Century Gothic" w:hAnsi="Century Gothic"/>
          <w:b/>
        </w:rPr>
      </w:pPr>
    </w:p>
    <w:p w14:paraId="21183FF7" w14:textId="77777777" w:rsidR="001D36C1" w:rsidRDefault="001D36C1">
      <w:pPr>
        <w:rPr>
          <w:rFonts w:ascii="Century Gothic" w:hAnsi="Century Gothic"/>
          <w:b/>
        </w:rPr>
      </w:pPr>
      <w:r>
        <w:rPr>
          <w:rFonts w:ascii="Century Gothic" w:hAnsi="Century Gothic"/>
          <w:b/>
        </w:rPr>
        <w:t>In the Matter of Section 18C of the Care of Churches and Ecclesiastical Jurisdiction Measure 1991</w:t>
      </w:r>
    </w:p>
    <w:p w14:paraId="3A5AB2B5" w14:textId="77777777" w:rsidR="001D36C1" w:rsidRDefault="001D36C1">
      <w:pPr>
        <w:rPr>
          <w:rFonts w:ascii="Century Gothic" w:hAnsi="Century Gothic"/>
          <w:b/>
        </w:rPr>
      </w:pPr>
    </w:p>
    <w:p w14:paraId="4486AAA3" w14:textId="77777777" w:rsidR="001D36C1" w:rsidRDefault="001D36C1" w:rsidP="001D36C1">
      <w:pPr>
        <w:pBdr>
          <w:bottom w:val="single" w:sz="4" w:space="1" w:color="auto"/>
        </w:pBdr>
        <w:jc w:val="right"/>
        <w:rPr>
          <w:rFonts w:ascii="Century Gothic" w:hAnsi="Century Gothic"/>
          <w:b/>
        </w:rPr>
      </w:pPr>
    </w:p>
    <w:p w14:paraId="7D4D03BB" w14:textId="77777777" w:rsidR="001D36C1" w:rsidRPr="001D36C1" w:rsidRDefault="001D36C1" w:rsidP="001D36C1">
      <w:pPr>
        <w:rPr>
          <w:rFonts w:ascii="Century Gothic" w:hAnsi="Century Gothic"/>
        </w:rPr>
      </w:pPr>
    </w:p>
    <w:p w14:paraId="0E9518F1" w14:textId="77777777" w:rsidR="001D36C1" w:rsidRDefault="001D36C1" w:rsidP="001D36C1">
      <w:pPr>
        <w:rPr>
          <w:rFonts w:ascii="Century Gothic" w:hAnsi="Century Gothic"/>
        </w:rPr>
      </w:pPr>
    </w:p>
    <w:p w14:paraId="08EAA0B5" w14:textId="39A837A5" w:rsidR="001D36C1" w:rsidRDefault="001D36C1" w:rsidP="001D36C1">
      <w:pPr>
        <w:pBdr>
          <w:bottom w:val="single" w:sz="4" w:space="1" w:color="auto"/>
        </w:pBdr>
        <w:jc w:val="center"/>
        <w:rPr>
          <w:rFonts w:ascii="Century Gothic" w:hAnsi="Century Gothic"/>
        </w:rPr>
      </w:pPr>
      <w:r>
        <w:rPr>
          <w:rFonts w:ascii="Century Gothic" w:hAnsi="Century Gothic"/>
        </w:rPr>
        <w:t>ADDITIONAL MATTERS ORDER</w:t>
      </w:r>
      <w:r w:rsidR="00165C25">
        <w:rPr>
          <w:rFonts w:ascii="Century Gothic" w:hAnsi="Century Gothic"/>
        </w:rPr>
        <w:t xml:space="preserve"> (Winchester No.</w:t>
      </w:r>
      <w:r w:rsidR="00C06ABF">
        <w:rPr>
          <w:rFonts w:ascii="Century Gothic" w:hAnsi="Century Gothic"/>
        </w:rPr>
        <w:t>2</w:t>
      </w:r>
      <w:r w:rsidR="00165C25">
        <w:rPr>
          <w:rFonts w:ascii="Century Gothic" w:hAnsi="Century Gothic"/>
        </w:rPr>
        <w:t>)</w:t>
      </w:r>
    </w:p>
    <w:p w14:paraId="2C23FA59" w14:textId="77777777" w:rsidR="001D36C1" w:rsidRDefault="001D36C1" w:rsidP="001D36C1">
      <w:pPr>
        <w:pBdr>
          <w:bottom w:val="single" w:sz="4" w:space="1" w:color="auto"/>
        </w:pBdr>
        <w:jc w:val="center"/>
        <w:rPr>
          <w:rFonts w:ascii="Century Gothic" w:hAnsi="Century Gothic"/>
        </w:rPr>
      </w:pPr>
    </w:p>
    <w:p w14:paraId="7B4803D1" w14:textId="77777777" w:rsidR="001D36C1" w:rsidRPr="001D36C1" w:rsidRDefault="001D36C1" w:rsidP="001D36C1">
      <w:pPr>
        <w:rPr>
          <w:rFonts w:ascii="Century Gothic" w:hAnsi="Century Gothic"/>
        </w:rPr>
      </w:pPr>
    </w:p>
    <w:p w14:paraId="14C760D0" w14:textId="77777777" w:rsidR="001D36C1" w:rsidRDefault="001D36C1" w:rsidP="001D36C1">
      <w:pPr>
        <w:rPr>
          <w:rFonts w:ascii="Century Gothic" w:hAnsi="Century Gothic"/>
        </w:rPr>
      </w:pPr>
    </w:p>
    <w:p w14:paraId="3FD9D704" w14:textId="198116D4" w:rsidR="001D36C1" w:rsidRPr="00E77D52" w:rsidRDefault="001D36C1" w:rsidP="001D36C1">
      <w:pPr>
        <w:rPr>
          <w:rFonts w:ascii="Century Gothic" w:hAnsi="Century Gothic"/>
        </w:rPr>
      </w:pPr>
      <w:r>
        <w:rPr>
          <w:rFonts w:ascii="Century Gothic" w:hAnsi="Century Gothic"/>
        </w:rPr>
        <w:t xml:space="preserve">In accordance with </w:t>
      </w:r>
      <w:proofErr w:type="gramStart"/>
      <w:r w:rsidRPr="00E77D52">
        <w:rPr>
          <w:rFonts w:ascii="Century Gothic" w:hAnsi="Century Gothic"/>
        </w:rPr>
        <w:t xml:space="preserve">Section </w:t>
      </w:r>
      <w:r w:rsidR="001A1648" w:rsidRPr="00E77D52">
        <w:rPr>
          <w:rFonts w:ascii="Century Gothic" w:hAnsi="Century Gothic"/>
        </w:rPr>
        <w:t xml:space="preserve"> </w:t>
      </w:r>
      <w:r w:rsidR="00E77D52" w:rsidRPr="00E77D52">
        <w:rPr>
          <w:rFonts w:ascii="Century Gothic" w:hAnsi="Century Gothic"/>
        </w:rPr>
        <w:t>7</w:t>
      </w:r>
      <w:r w:rsidR="001A1648" w:rsidRPr="00E77D52">
        <w:rPr>
          <w:rFonts w:ascii="Century Gothic" w:hAnsi="Century Gothic"/>
        </w:rPr>
        <w:t>8</w:t>
      </w:r>
      <w:proofErr w:type="gramEnd"/>
      <w:r w:rsidR="001A1648" w:rsidRPr="00E77D52">
        <w:rPr>
          <w:rFonts w:ascii="Century Gothic" w:hAnsi="Century Gothic"/>
        </w:rPr>
        <w:t xml:space="preserve"> </w:t>
      </w:r>
      <w:r w:rsidRPr="00E77D52">
        <w:rPr>
          <w:rFonts w:ascii="Century Gothic" w:hAnsi="Century Gothic"/>
        </w:rPr>
        <w:t xml:space="preserve">of the </w:t>
      </w:r>
      <w:r w:rsidR="001A1648" w:rsidRPr="00E77D52">
        <w:rPr>
          <w:rFonts w:ascii="Century Gothic" w:hAnsi="Century Gothic"/>
        </w:rPr>
        <w:t xml:space="preserve">Ecclesiastical Jurisdiction and Care of Churches Measure 2018 </w:t>
      </w:r>
      <w:r w:rsidRPr="00E77D52">
        <w:rPr>
          <w:rFonts w:ascii="Century Gothic" w:hAnsi="Century Gothic"/>
        </w:rPr>
        <w:t>(“the measure”), the Chancellor has sought the advice of the Diocesan Advisory Committee before making this order.</w:t>
      </w:r>
    </w:p>
    <w:p w14:paraId="231A8AEC" w14:textId="77777777" w:rsidR="001D36C1" w:rsidRPr="00E77D52" w:rsidRDefault="001D36C1" w:rsidP="001D36C1">
      <w:pPr>
        <w:rPr>
          <w:rFonts w:ascii="Century Gothic" w:hAnsi="Century Gothic"/>
        </w:rPr>
      </w:pPr>
    </w:p>
    <w:p w14:paraId="4C504ABD" w14:textId="13928001" w:rsidR="001D36C1" w:rsidRDefault="001D36C1" w:rsidP="001D36C1">
      <w:pPr>
        <w:rPr>
          <w:rFonts w:ascii="Century Gothic" w:hAnsi="Century Gothic"/>
        </w:rPr>
      </w:pPr>
      <w:r w:rsidRPr="00E77D52">
        <w:rPr>
          <w:rFonts w:ascii="Century Gothic" w:hAnsi="Century Gothic"/>
        </w:rPr>
        <w:t xml:space="preserve">In the exercise of the power conferred by Section </w:t>
      </w:r>
      <w:r w:rsidR="001A1648" w:rsidRPr="00E77D52">
        <w:rPr>
          <w:rFonts w:ascii="Century Gothic" w:hAnsi="Century Gothic"/>
        </w:rPr>
        <w:t>78</w:t>
      </w:r>
      <w:r w:rsidRPr="00E77D52">
        <w:rPr>
          <w:rFonts w:ascii="Century Gothic" w:hAnsi="Century Gothic"/>
        </w:rPr>
        <w:t xml:space="preserve"> (</w:t>
      </w:r>
      <w:r w:rsidR="001A1648" w:rsidRPr="00E77D52">
        <w:rPr>
          <w:rFonts w:ascii="Century Gothic" w:hAnsi="Century Gothic"/>
        </w:rPr>
        <w:t>4</w:t>
      </w:r>
      <w:r w:rsidRPr="00E77D52">
        <w:rPr>
          <w:rFonts w:ascii="Century Gothic" w:hAnsi="Century Gothic"/>
        </w:rPr>
        <w:t>)</w:t>
      </w:r>
      <w:r>
        <w:rPr>
          <w:rFonts w:ascii="Century Gothic" w:hAnsi="Century Gothic"/>
        </w:rPr>
        <w:t xml:space="preserve"> of the measure the Chancellor makes the following order:</w:t>
      </w:r>
    </w:p>
    <w:p w14:paraId="3F5007AE" w14:textId="77777777" w:rsidR="001D36C1" w:rsidRDefault="001D36C1" w:rsidP="001D36C1">
      <w:pPr>
        <w:rPr>
          <w:rFonts w:ascii="Century Gothic" w:hAnsi="Century Gothic"/>
        </w:rPr>
      </w:pPr>
    </w:p>
    <w:p w14:paraId="7C4381F0" w14:textId="77777777" w:rsidR="001D36C1" w:rsidRDefault="0063613F" w:rsidP="0063613F">
      <w:pPr>
        <w:pStyle w:val="ListParagraph"/>
        <w:numPr>
          <w:ilvl w:val="0"/>
          <w:numId w:val="1"/>
        </w:numPr>
        <w:rPr>
          <w:rFonts w:ascii="Century Gothic" w:hAnsi="Century Gothic"/>
        </w:rPr>
      </w:pPr>
      <w:r>
        <w:rPr>
          <w:rFonts w:ascii="Century Gothic" w:hAnsi="Century Gothic"/>
        </w:rPr>
        <w:t xml:space="preserve">An authorised person may undertake matters prescribed in the Schedule attached to this Order without a faculty provided – </w:t>
      </w:r>
    </w:p>
    <w:p w14:paraId="44DCCB53" w14:textId="77777777" w:rsidR="0063613F" w:rsidRDefault="0063613F" w:rsidP="0063613F">
      <w:pPr>
        <w:pStyle w:val="ListParagraph"/>
        <w:numPr>
          <w:ilvl w:val="0"/>
          <w:numId w:val="2"/>
        </w:numPr>
        <w:rPr>
          <w:rFonts w:ascii="Century Gothic" w:hAnsi="Century Gothic"/>
        </w:rPr>
      </w:pPr>
      <w:r>
        <w:rPr>
          <w:rFonts w:ascii="Century Gothic" w:hAnsi="Century Gothic"/>
        </w:rPr>
        <w:t>The Archdeacon has been consulted on the proposal to undertake the matter and has given notice in writing that it may be undertaken without a faculty; and</w:t>
      </w:r>
    </w:p>
    <w:p w14:paraId="657101CC" w14:textId="77777777" w:rsidR="0063613F" w:rsidRDefault="0063613F" w:rsidP="0063613F">
      <w:pPr>
        <w:pStyle w:val="ListParagraph"/>
        <w:numPr>
          <w:ilvl w:val="0"/>
          <w:numId w:val="2"/>
        </w:numPr>
        <w:rPr>
          <w:rFonts w:ascii="Century Gothic" w:hAnsi="Century Gothic"/>
        </w:rPr>
      </w:pPr>
      <w:r>
        <w:rPr>
          <w:rFonts w:ascii="Century Gothic" w:hAnsi="Century Gothic"/>
        </w:rPr>
        <w:t>Subject to –</w:t>
      </w:r>
    </w:p>
    <w:p w14:paraId="3B5ED65C" w14:textId="77777777" w:rsidR="008F5454" w:rsidRDefault="00E31DDF" w:rsidP="008F5454">
      <w:pPr>
        <w:pStyle w:val="ListParagraph"/>
        <w:numPr>
          <w:ilvl w:val="0"/>
          <w:numId w:val="4"/>
        </w:numPr>
        <w:rPr>
          <w:rFonts w:ascii="Century Gothic" w:hAnsi="Century Gothic"/>
        </w:rPr>
      </w:pPr>
      <w:r>
        <w:rPr>
          <w:rFonts w:ascii="Century Gothic" w:hAnsi="Century Gothic"/>
        </w:rPr>
        <w:t>a</w:t>
      </w:r>
      <w:r w:rsidR="008F5454">
        <w:rPr>
          <w:rFonts w:ascii="Century Gothic" w:hAnsi="Century Gothic"/>
        </w:rPr>
        <w:t>ny conditions that are specified in relation to that matter in the corresponding place in the second column of the table; and</w:t>
      </w:r>
    </w:p>
    <w:p w14:paraId="40526CCD" w14:textId="77777777" w:rsidR="0063613F" w:rsidRPr="008F5454" w:rsidRDefault="00E31DDF" w:rsidP="008F5454">
      <w:pPr>
        <w:pStyle w:val="ListParagraph"/>
        <w:numPr>
          <w:ilvl w:val="0"/>
          <w:numId w:val="4"/>
        </w:numPr>
        <w:rPr>
          <w:rFonts w:ascii="Century Gothic" w:hAnsi="Century Gothic"/>
        </w:rPr>
      </w:pPr>
      <w:r>
        <w:rPr>
          <w:rFonts w:ascii="Century Gothic" w:hAnsi="Century Gothic"/>
        </w:rPr>
        <w:t>a</w:t>
      </w:r>
      <w:r w:rsidR="0063613F" w:rsidRPr="008F5454">
        <w:rPr>
          <w:rFonts w:ascii="Century Gothic" w:hAnsi="Century Gothic"/>
        </w:rPr>
        <w:t>ny conditions that are imposed by the Archdeacon</w:t>
      </w:r>
      <w:r w:rsidR="008F5454">
        <w:rPr>
          <w:rFonts w:ascii="Century Gothic" w:hAnsi="Century Gothic"/>
        </w:rPr>
        <w:t xml:space="preserve"> under paragraph 3 (b)</w:t>
      </w:r>
      <w:r w:rsidR="0063613F" w:rsidRPr="008F5454">
        <w:rPr>
          <w:rFonts w:ascii="Century Gothic" w:hAnsi="Century Gothic"/>
        </w:rPr>
        <w:t>.</w:t>
      </w:r>
    </w:p>
    <w:p w14:paraId="5EAA14A4" w14:textId="77777777" w:rsidR="0063613F" w:rsidRDefault="00165C25" w:rsidP="0063613F">
      <w:pPr>
        <w:pStyle w:val="ListParagraph"/>
        <w:numPr>
          <w:ilvl w:val="0"/>
          <w:numId w:val="1"/>
        </w:numPr>
        <w:rPr>
          <w:rFonts w:ascii="Century Gothic" w:hAnsi="Century Gothic"/>
        </w:rPr>
      </w:pPr>
      <w:r>
        <w:rPr>
          <w:rFonts w:ascii="Century Gothic" w:hAnsi="Century Gothic"/>
        </w:rPr>
        <w:t xml:space="preserve">Where the Archdeacon is consulted under paragraph 1a. </w:t>
      </w:r>
      <w:r w:rsidR="008F5454">
        <w:rPr>
          <w:rFonts w:ascii="Century Gothic" w:hAnsi="Century Gothic"/>
        </w:rPr>
        <w:t>on the proposal to undertake a matter, the archdeacon</w:t>
      </w:r>
      <w:r w:rsidR="00E31DDF">
        <w:rPr>
          <w:rFonts w:ascii="Century Gothic" w:hAnsi="Century Gothic"/>
        </w:rPr>
        <w:t xml:space="preserve"> -</w:t>
      </w:r>
    </w:p>
    <w:p w14:paraId="3DE6B923" w14:textId="77777777" w:rsidR="008F5454" w:rsidRDefault="00E31DDF" w:rsidP="008F5454">
      <w:pPr>
        <w:pStyle w:val="ListParagraph"/>
        <w:numPr>
          <w:ilvl w:val="0"/>
          <w:numId w:val="5"/>
        </w:numPr>
        <w:rPr>
          <w:rFonts w:ascii="Century Gothic" w:hAnsi="Century Gothic"/>
        </w:rPr>
      </w:pPr>
      <w:r>
        <w:rPr>
          <w:rFonts w:ascii="Century Gothic" w:hAnsi="Century Gothic"/>
        </w:rPr>
        <w:t>m</w:t>
      </w:r>
      <w:r w:rsidR="008F5454">
        <w:rPr>
          <w:rFonts w:ascii="Century Gothic" w:hAnsi="Century Gothic"/>
        </w:rPr>
        <w:t xml:space="preserve">ust </w:t>
      </w:r>
      <w:proofErr w:type="gramStart"/>
      <w:r w:rsidR="008F5454">
        <w:rPr>
          <w:rFonts w:ascii="Century Gothic" w:hAnsi="Century Gothic"/>
        </w:rPr>
        <w:t>seek  the</w:t>
      </w:r>
      <w:proofErr w:type="gramEnd"/>
      <w:r w:rsidR="008F5454">
        <w:rPr>
          <w:rFonts w:ascii="Century Gothic" w:hAnsi="Century Gothic"/>
        </w:rPr>
        <w:t xml:space="preserve"> advice of the Diocesan Advisory Committee or such of its members or officers as the archdeacon thinks fit before deciding whether to give notice that it may be undertaken without faculty; and</w:t>
      </w:r>
    </w:p>
    <w:p w14:paraId="57593A39" w14:textId="77777777" w:rsidR="008F5454" w:rsidRDefault="00E31DDF" w:rsidP="008F5454">
      <w:pPr>
        <w:pStyle w:val="ListParagraph"/>
        <w:numPr>
          <w:ilvl w:val="0"/>
          <w:numId w:val="5"/>
        </w:numPr>
        <w:rPr>
          <w:rFonts w:ascii="Century Gothic" w:hAnsi="Century Gothic"/>
        </w:rPr>
      </w:pPr>
      <w:r>
        <w:rPr>
          <w:rFonts w:ascii="Century Gothic" w:hAnsi="Century Gothic"/>
        </w:rPr>
        <w:t>m</w:t>
      </w:r>
      <w:r w:rsidR="008F5454">
        <w:rPr>
          <w:rFonts w:ascii="Century Gothic" w:hAnsi="Century Gothic"/>
        </w:rPr>
        <w:t>ay make the undertaking of the matter subject to additional conditions specified by the archdeacon in the notice.</w:t>
      </w:r>
    </w:p>
    <w:p w14:paraId="151B73A0" w14:textId="77777777" w:rsidR="008F5454" w:rsidRDefault="008F5454" w:rsidP="008F5454">
      <w:pPr>
        <w:pStyle w:val="ListParagraph"/>
        <w:numPr>
          <w:ilvl w:val="0"/>
          <w:numId w:val="1"/>
        </w:numPr>
        <w:rPr>
          <w:rFonts w:ascii="Century Gothic" w:hAnsi="Century Gothic"/>
        </w:rPr>
      </w:pPr>
      <w:r>
        <w:rPr>
          <w:rFonts w:ascii="Century Gothic" w:hAnsi="Century Gothic"/>
        </w:rPr>
        <w:t>A notice given by the archdeacon under paragraph 1(a) must specify the proposals which may be undertaken without a faculty.</w:t>
      </w:r>
    </w:p>
    <w:p w14:paraId="592F8F93" w14:textId="77777777" w:rsidR="008F5454" w:rsidRDefault="008F5454" w:rsidP="008F5454">
      <w:pPr>
        <w:pStyle w:val="ListParagraph"/>
        <w:numPr>
          <w:ilvl w:val="0"/>
          <w:numId w:val="1"/>
        </w:numPr>
        <w:rPr>
          <w:rFonts w:ascii="Century Gothic" w:hAnsi="Century Gothic"/>
        </w:rPr>
      </w:pPr>
      <w:r>
        <w:rPr>
          <w:rFonts w:ascii="Century Gothic" w:hAnsi="Century Gothic"/>
        </w:rPr>
        <w:t>The archdeacon must retain a copy of every notice given under paragraph 1(a) and must also send a copy to –</w:t>
      </w:r>
    </w:p>
    <w:p w14:paraId="10A3DB10" w14:textId="77777777" w:rsidR="008F5454" w:rsidRDefault="008F5454" w:rsidP="008F5454">
      <w:pPr>
        <w:pStyle w:val="ListParagraph"/>
        <w:numPr>
          <w:ilvl w:val="0"/>
          <w:numId w:val="6"/>
        </w:numPr>
        <w:rPr>
          <w:rFonts w:ascii="Century Gothic" w:hAnsi="Century Gothic"/>
        </w:rPr>
      </w:pPr>
      <w:r>
        <w:rPr>
          <w:rFonts w:ascii="Century Gothic" w:hAnsi="Century Gothic"/>
        </w:rPr>
        <w:t>The registrar of the diocese for filing in the diocesan registry</w:t>
      </w:r>
    </w:p>
    <w:p w14:paraId="7917B46C" w14:textId="77777777" w:rsidR="008F5454" w:rsidRDefault="008F5454" w:rsidP="008F5454">
      <w:pPr>
        <w:pStyle w:val="ListParagraph"/>
        <w:numPr>
          <w:ilvl w:val="0"/>
          <w:numId w:val="6"/>
        </w:numPr>
        <w:rPr>
          <w:rFonts w:ascii="Century Gothic" w:hAnsi="Century Gothic"/>
        </w:rPr>
      </w:pPr>
      <w:r>
        <w:rPr>
          <w:rFonts w:ascii="Century Gothic" w:hAnsi="Century Gothic"/>
        </w:rPr>
        <w:t>The secretary of the Diocesan Advisory Committee</w:t>
      </w:r>
    </w:p>
    <w:p w14:paraId="1D719B9B" w14:textId="77777777" w:rsidR="00E31DDF" w:rsidRDefault="00E31DDF" w:rsidP="00E31DDF">
      <w:pPr>
        <w:pStyle w:val="ListParagraph"/>
        <w:numPr>
          <w:ilvl w:val="0"/>
          <w:numId w:val="1"/>
        </w:numPr>
        <w:rPr>
          <w:rFonts w:ascii="Century Gothic" w:hAnsi="Century Gothic"/>
        </w:rPr>
      </w:pPr>
      <w:r>
        <w:rPr>
          <w:rFonts w:ascii="Century Gothic" w:hAnsi="Century Gothic"/>
        </w:rPr>
        <w:t>If the Archdeacon declines to give notice under paragraph 1(a) that a proposal may be undertaken without a faculty the archdeacon must inform the applicants that they may, if they wish, petition the court for a faculty to authorise the proposal.</w:t>
      </w:r>
    </w:p>
    <w:p w14:paraId="2A6B5344" w14:textId="77777777" w:rsidR="00E31DDF" w:rsidRPr="00E31DDF" w:rsidRDefault="00E31DDF" w:rsidP="00E31DDF">
      <w:pPr>
        <w:pStyle w:val="ListParagraph"/>
        <w:numPr>
          <w:ilvl w:val="0"/>
          <w:numId w:val="1"/>
        </w:numPr>
        <w:rPr>
          <w:rFonts w:ascii="Century Gothic" w:hAnsi="Century Gothic"/>
        </w:rPr>
      </w:pPr>
      <w:r>
        <w:rPr>
          <w:rFonts w:ascii="Century Gothic" w:hAnsi="Century Gothic"/>
        </w:rPr>
        <w:t>The words used in this Order have the same meaning as they have in the Faculty Jurisdiction Rules 2015</w:t>
      </w:r>
    </w:p>
    <w:p w14:paraId="726615E4" w14:textId="77777777" w:rsidR="00E31DDF" w:rsidRDefault="00E31DDF" w:rsidP="00E31DDF">
      <w:pPr>
        <w:jc w:val="center"/>
        <w:rPr>
          <w:rFonts w:ascii="Century Gothic" w:hAnsi="Century Gothic"/>
          <w:b/>
        </w:rPr>
      </w:pPr>
    </w:p>
    <w:p w14:paraId="5162C2E3" w14:textId="3DE2BE43" w:rsidR="00E31DDF" w:rsidRDefault="001A1648" w:rsidP="00E31DDF">
      <w:pPr>
        <w:rPr>
          <w:rFonts w:ascii="Century Gothic" w:hAnsi="Century Gothic"/>
        </w:rPr>
      </w:pPr>
      <w:r>
        <w:rPr>
          <w:rFonts w:ascii="Century Gothic" w:hAnsi="Century Gothic"/>
        </w:rPr>
        <w:t>September 2019</w:t>
      </w:r>
      <w:r w:rsidR="00E31DDF">
        <w:rPr>
          <w:rFonts w:ascii="Century Gothic" w:hAnsi="Century Gothic"/>
        </w:rPr>
        <w:tab/>
      </w:r>
      <w:r w:rsidR="00E31DDF">
        <w:rPr>
          <w:rFonts w:ascii="Century Gothic" w:hAnsi="Century Gothic"/>
        </w:rPr>
        <w:tab/>
      </w:r>
      <w:r w:rsidR="00E31DDF">
        <w:rPr>
          <w:rFonts w:ascii="Century Gothic" w:hAnsi="Century Gothic"/>
        </w:rPr>
        <w:tab/>
      </w:r>
      <w:r w:rsidR="00E31DDF">
        <w:rPr>
          <w:rFonts w:ascii="Century Gothic" w:hAnsi="Century Gothic"/>
        </w:rPr>
        <w:tab/>
      </w:r>
      <w:r w:rsidR="00E31DDF">
        <w:rPr>
          <w:rFonts w:ascii="Century Gothic" w:hAnsi="Century Gothic"/>
        </w:rPr>
        <w:tab/>
      </w:r>
      <w:r w:rsidR="00E31DDF">
        <w:rPr>
          <w:rFonts w:ascii="Century Gothic" w:hAnsi="Century Gothic"/>
        </w:rPr>
        <w:tab/>
        <w:t>Matthew Cain Ormondroyd</w:t>
      </w:r>
    </w:p>
    <w:p w14:paraId="54DB706E" w14:textId="70FCD461" w:rsidR="00E31DDF" w:rsidRDefault="00E31DDF" w:rsidP="00E31DDF">
      <w:pPr>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001A1648">
        <w:rPr>
          <w:rFonts w:ascii="Century Gothic" w:hAnsi="Century Gothic"/>
        </w:rPr>
        <w:t xml:space="preserve">           </w:t>
      </w:r>
      <w:r>
        <w:rPr>
          <w:rFonts w:ascii="Century Gothic" w:hAnsi="Century Gothic"/>
        </w:rPr>
        <w:t>Chancellor</w:t>
      </w:r>
    </w:p>
    <w:p w14:paraId="2E6C8D71" w14:textId="157AF9CD" w:rsidR="001A1648" w:rsidRDefault="001A1648" w:rsidP="00E31DDF">
      <w:pPr>
        <w:rPr>
          <w:rFonts w:ascii="Century Gothic" w:hAnsi="Century Gothic"/>
        </w:rPr>
      </w:pPr>
    </w:p>
    <w:p w14:paraId="29CDE778" w14:textId="77777777" w:rsidR="001A1648" w:rsidRPr="00E31DDF" w:rsidRDefault="001A1648" w:rsidP="00E31DDF">
      <w:pPr>
        <w:rPr>
          <w:rFonts w:ascii="Century Gothic" w:hAnsi="Century Gothic"/>
        </w:rPr>
      </w:pPr>
    </w:p>
    <w:p w14:paraId="0175105E" w14:textId="77777777" w:rsidR="00E31DDF" w:rsidRDefault="00E31DDF" w:rsidP="00E31DDF">
      <w:pPr>
        <w:jc w:val="center"/>
        <w:rPr>
          <w:rFonts w:ascii="Century Gothic" w:hAnsi="Century Gothic"/>
          <w:b/>
        </w:rPr>
      </w:pPr>
    </w:p>
    <w:p w14:paraId="0301A8EA" w14:textId="77777777" w:rsidR="0063613F" w:rsidRDefault="00E31DDF" w:rsidP="00E31DDF">
      <w:pPr>
        <w:jc w:val="center"/>
        <w:rPr>
          <w:rFonts w:ascii="Century Gothic" w:hAnsi="Century Gothic"/>
          <w:b/>
        </w:rPr>
      </w:pPr>
      <w:r>
        <w:rPr>
          <w:rFonts w:ascii="Century Gothic" w:hAnsi="Century Gothic"/>
          <w:b/>
        </w:rPr>
        <w:lastRenderedPageBreak/>
        <w:t>SCHEDULE</w:t>
      </w:r>
    </w:p>
    <w:p w14:paraId="71B9C66A" w14:textId="77777777" w:rsidR="00E31DDF" w:rsidRDefault="00E31DDF" w:rsidP="00E31DDF">
      <w:pPr>
        <w:jc w:val="center"/>
        <w:rPr>
          <w:rFonts w:ascii="Century Gothic" w:hAnsi="Century Gothic"/>
          <w:b/>
        </w:rPr>
      </w:pPr>
    </w:p>
    <w:tbl>
      <w:tblPr>
        <w:tblStyle w:val="TableGrid"/>
        <w:tblW w:w="0" w:type="auto"/>
        <w:tblLook w:val="04A0" w:firstRow="1" w:lastRow="0" w:firstColumn="1" w:lastColumn="0" w:noHBand="0" w:noVBand="1"/>
      </w:tblPr>
      <w:tblGrid>
        <w:gridCol w:w="4621"/>
        <w:gridCol w:w="4622"/>
      </w:tblGrid>
      <w:tr w:rsidR="00E31DDF" w14:paraId="21652F88" w14:textId="77777777" w:rsidTr="00E31DDF">
        <w:tc>
          <w:tcPr>
            <w:tcW w:w="4621" w:type="dxa"/>
            <w:tcBorders>
              <w:top w:val="nil"/>
              <w:left w:val="nil"/>
              <w:bottom w:val="nil"/>
              <w:right w:val="nil"/>
            </w:tcBorders>
          </w:tcPr>
          <w:p w14:paraId="7EFDB8B1" w14:textId="77777777" w:rsidR="00E31DDF" w:rsidRDefault="00E31DDF" w:rsidP="00E31DDF">
            <w:pPr>
              <w:jc w:val="center"/>
              <w:rPr>
                <w:rFonts w:ascii="Century Gothic" w:hAnsi="Century Gothic"/>
                <w:b/>
              </w:rPr>
            </w:pPr>
            <w:r>
              <w:rPr>
                <w:rFonts w:ascii="Century Gothic" w:hAnsi="Century Gothic"/>
                <w:b/>
              </w:rPr>
              <w:t>Matter</w:t>
            </w:r>
          </w:p>
        </w:tc>
        <w:tc>
          <w:tcPr>
            <w:tcW w:w="4622" w:type="dxa"/>
            <w:tcBorders>
              <w:top w:val="nil"/>
              <w:left w:val="nil"/>
              <w:bottom w:val="nil"/>
              <w:right w:val="nil"/>
            </w:tcBorders>
          </w:tcPr>
          <w:p w14:paraId="66A34A45" w14:textId="77777777" w:rsidR="00E31DDF" w:rsidRDefault="00E31DDF" w:rsidP="00E31DDF">
            <w:pPr>
              <w:jc w:val="center"/>
              <w:rPr>
                <w:rFonts w:ascii="Century Gothic" w:hAnsi="Century Gothic"/>
                <w:b/>
              </w:rPr>
            </w:pPr>
            <w:r>
              <w:rPr>
                <w:rFonts w:ascii="Century Gothic" w:hAnsi="Century Gothic"/>
                <w:b/>
              </w:rPr>
              <w:t>Conditions</w:t>
            </w:r>
          </w:p>
        </w:tc>
      </w:tr>
      <w:tr w:rsidR="00E31DDF" w14:paraId="65745B10" w14:textId="77777777" w:rsidTr="00E31DDF">
        <w:tc>
          <w:tcPr>
            <w:tcW w:w="4621" w:type="dxa"/>
            <w:tcBorders>
              <w:top w:val="nil"/>
              <w:left w:val="nil"/>
              <w:bottom w:val="nil"/>
              <w:right w:val="nil"/>
            </w:tcBorders>
          </w:tcPr>
          <w:p w14:paraId="41DD2E8D" w14:textId="77777777" w:rsidR="00E31DDF" w:rsidRDefault="00E31DDF" w:rsidP="00E31DDF">
            <w:pPr>
              <w:rPr>
                <w:rFonts w:ascii="Century Gothic" w:hAnsi="Century Gothic"/>
              </w:rPr>
            </w:pPr>
          </w:p>
          <w:p w14:paraId="5D4FAF43" w14:textId="6A661F4C" w:rsidR="00E31DDF" w:rsidRPr="00E31DDF" w:rsidRDefault="001A1648" w:rsidP="00E31DDF">
            <w:pPr>
              <w:rPr>
                <w:rFonts w:ascii="Century Gothic" w:hAnsi="Century Gothic"/>
              </w:rPr>
            </w:pPr>
            <w:r w:rsidRPr="00E77D52">
              <w:rPr>
                <w:rFonts w:ascii="Century Gothic" w:hAnsi="Century Gothic"/>
              </w:rPr>
              <w:t>The introduction of router and associated equipment to allow broadband provision in the church; to include shallow depth cable run through the churchyard</w:t>
            </w:r>
          </w:p>
        </w:tc>
        <w:tc>
          <w:tcPr>
            <w:tcW w:w="4622" w:type="dxa"/>
            <w:tcBorders>
              <w:top w:val="nil"/>
              <w:left w:val="nil"/>
              <w:bottom w:val="nil"/>
              <w:right w:val="nil"/>
            </w:tcBorders>
          </w:tcPr>
          <w:p w14:paraId="55038796" w14:textId="77777777" w:rsidR="00E31DDF" w:rsidRDefault="00E31DDF" w:rsidP="00E31DDF">
            <w:pPr>
              <w:rPr>
                <w:rFonts w:ascii="Century Gothic" w:hAnsi="Century Gothic"/>
              </w:rPr>
            </w:pPr>
          </w:p>
          <w:p w14:paraId="4F2186FD" w14:textId="7F58C2A1" w:rsidR="00E77D52" w:rsidRPr="00E77D52" w:rsidRDefault="00E77D52" w:rsidP="00E77D52">
            <w:pPr>
              <w:pStyle w:val="ListParagraph"/>
              <w:numPr>
                <w:ilvl w:val="0"/>
                <w:numId w:val="7"/>
              </w:numPr>
              <w:rPr>
                <w:rFonts w:ascii="Century Gothic" w:hAnsi="Century Gothic"/>
              </w:rPr>
            </w:pPr>
            <w:r>
              <w:rPr>
                <w:rFonts w:ascii="Century Gothic" w:hAnsi="Century Gothic"/>
              </w:rPr>
              <w:t xml:space="preserve">The shallow cable run shall be routed </w:t>
            </w:r>
            <w:r w:rsidR="00C45E6D">
              <w:rPr>
                <w:rFonts w:ascii="Century Gothic" w:hAnsi="Century Gothic"/>
              </w:rPr>
              <w:t xml:space="preserve">below ground level and </w:t>
            </w:r>
            <w:r>
              <w:rPr>
                <w:rFonts w:ascii="Century Gothic" w:hAnsi="Century Gothic"/>
              </w:rPr>
              <w:t>so as not to disturb any human remains or any archaeological remains (for the avoidance of doubt, if such a route is not possible then a full faculty will be required);</w:t>
            </w:r>
          </w:p>
          <w:p w14:paraId="698D1BE7" w14:textId="3BBDDD3F" w:rsidR="00E77D52" w:rsidRPr="00E77D52" w:rsidRDefault="00E77D52" w:rsidP="00E77D52">
            <w:pPr>
              <w:pStyle w:val="ListParagraph"/>
              <w:numPr>
                <w:ilvl w:val="0"/>
                <w:numId w:val="7"/>
              </w:numPr>
              <w:rPr>
                <w:rFonts w:ascii="Century Gothic" w:hAnsi="Century Gothic"/>
              </w:rPr>
            </w:pPr>
            <w:r>
              <w:rPr>
                <w:rFonts w:ascii="Century Gothic" w:hAnsi="Century Gothic"/>
              </w:rPr>
              <w:t xml:space="preserve">The work shall be conducted in accordance with the DAC’s guidance on electrical installations. </w:t>
            </w:r>
          </w:p>
        </w:tc>
      </w:tr>
    </w:tbl>
    <w:p w14:paraId="3BD64F1A" w14:textId="77777777" w:rsidR="00E31DDF" w:rsidRPr="00E31DDF" w:rsidRDefault="00E31DDF" w:rsidP="00E31DDF">
      <w:pPr>
        <w:jc w:val="center"/>
        <w:rPr>
          <w:rFonts w:ascii="Century Gothic" w:hAnsi="Century Gothic"/>
          <w:b/>
        </w:rPr>
      </w:pPr>
    </w:p>
    <w:p w14:paraId="27A56D91" w14:textId="77777777" w:rsidR="0063613F" w:rsidRDefault="0063613F" w:rsidP="0063613F">
      <w:pPr>
        <w:rPr>
          <w:rFonts w:ascii="Century Gothic" w:hAnsi="Century Gothic"/>
        </w:rPr>
      </w:pPr>
    </w:p>
    <w:sectPr w:rsidR="0063613F" w:rsidSect="00E31DDF">
      <w:pgSz w:w="11907" w:h="16840" w:code="9"/>
      <w:pgMar w:top="709" w:right="1440" w:bottom="1440" w:left="1440" w:header="720" w:footer="720" w:gutter="0"/>
      <w:paperSrc w:first="3" w:other="3"/>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1137B"/>
    <w:multiLevelType w:val="hybridMultilevel"/>
    <w:tmpl w:val="17A6A4C8"/>
    <w:lvl w:ilvl="0" w:tplc="E2CE9D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02847A1"/>
    <w:multiLevelType w:val="hybridMultilevel"/>
    <w:tmpl w:val="53A65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EC6583"/>
    <w:multiLevelType w:val="hybridMultilevel"/>
    <w:tmpl w:val="8ABE0F40"/>
    <w:lvl w:ilvl="0" w:tplc="45EE18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0D1132"/>
    <w:multiLevelType w:val="hybridMultilevel"/>
    <w:tmpl w:val="EA64B87E"/>
    <w:lvl w:ilvl="0" w:tplc="E57A16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973228B"/>
    <w:multiLevelType w:val="hybridMultilevel"/>
    <w:tmpl w:val="425408F8"/>
    <w:lvl w:ilvl="0" w:tplc="1E60A6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2D02488"/>
    <w:multiLevelType w:val="hybridMultilevel"/>
    <w:tmpl w:val="A2A4FA3E"/>
    <w:lvl w:ilvl="0" w:tplc="D87E0FF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665F20C5"/>
    <w:multiLevelType w:val="hybridMultilevel"/>
    <w:tmpl w:val="9EB645F0"/>
    <w:lvl w:ilvl="0" w:tplc="D87E0FF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4"/>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36C1"/>
    <w:rsid w:val="000373A2"/>
    <w:rsid w:val="00165C25"/>
    <w:rsid w:val="001835B7"/>
    <w:rsid w:val="001A1648"/>
    <w:rsid w:val="001D36C1"/>
    <w:rsid w:val="00240F07"/>
    <w:rsid w:val="00256074"/>
    <w:rsid w:val="0063613F"/>
    <w:rsid w:val="007B024E"/>
    <w:rsid w:val="00823EE0"/>
    <w:rsid w:val="008F5454"/>
    <w:rsid w:val="00914D84"/>
    <w:rsid w:val="0096256F"/>
    <w:rsid w:val="00C06ABF"/>
    <w:rsid w:val="00C45E6D"/>
    <w:rsid w:val="00DE6944"/>
    <w:rsid w:val="00E31DDF"/>
    <w:rsid w:val="00E77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E1E15"/>
  <w15:docId w15:val="{D9BC08D1-E223-4782-88E6-BD17FD01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13F"/>
    <w:pPr>
      <w:ind w:left="720"/>
      <w:contextualSpacing/>
    </w:pPr>
  </w:style>
  <w:style w:type="table" w:styleId="TableGrid">
    <w:name w:val="Table Grid"/>
    <w:basedOn w:val="TableNormal"/>
    <w:uiPriority w:val="59"/>
    <w:rsid w:val="00E31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2</cp:revision>
  <dcterms:created xsi:type="dcterms:W3CDTF">2019-09-25T08:58:00Z</dcterms:created>
  <dcterms:modified xsi:type="dcterms:W3CDTF">2019-09-25T08:58:00Z</dcterms:modified>
</cp:coreProperties>
</file>